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s>
        <w:spacing w:line="560" w:lineRule="exact"/>
        <w:ind w:right="-506" w:rightChars="-241"/>
        <w:rPr>
          <w:rFonts w:ascii="Times New Roman" w:hAnsi="Times New Roman" w:eastAsia="黑体"/>
          <w:sz w:val="32"/>
          <w:szCs w:val="32"/>
        </w:rPr>
      </w:pPr>
      <w:r>
        <w:rPr>
          <w:rFonts w:hint="eastAsia" w:ascii="Times New Roman" w:hAnsi="黑体" w:eastAsia="黑体"/>
          <w:sz w:val="32"/>
          <w:szCs w:val="32"/>
        </w:rPr>
        <w:t>附件</w:t>
      </w:r>
      <w:r>
        <w:rPr>
          <w:rFonts w:ascii="Times New Roman" w:hAnsi="Times New Roman" w:eastAsia="黑体"/>
          <w:sz w:val="32"/>
          <w:szCs w:val="32"/>
        </w:rPr>
        <w:t>1</w:t>
      </w:r>
    </w:p>
    <w:p>
      <w:pPr>
        <w:spacing w:line="600" w:lineRule="exact"/>
        <w:jc w:val="center"/>
        <w:rPr>
          <w:rFonts w:ascii="Times New Roman" w:hAnsi="Times New Roman" w:eastAsia="方正小标宋_GBK"/>
          <w:kern w:val="0"/>
          <w:sz w:val="44"/>
          <w:szCs w:val="44"/>
        </w:rPr>
      </w:pPr>
      <w:r>
        <w:rPr>
          <w:rFonts w:hint="eastAsia" w:ascii="Times New Roman" w:hAnsi="方正小标宋_GBK" w:eastAsia="方正小标宋_GBK"/>
          <w:kern w:val="0"/>
          <w:sz w:val="44"/>
          <w:szCs w:val="44"/>
        </w:rPr>
        <w:t>参赛规则</w:t>
      </w:r>
    </w:p>
    <w:p>
      <w:pPr>
        <w:tabs>
          <w:tab w:val="left" w:pos="1260"/>
        </w:tabs>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一、参赛作品要求</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．电子材料。</w:t>
      </w:r>
    </w:p>
    <w:p>
      <w:pPr>
        <w:spacing w:line="560" w:lineRule="exact"/>
        <w:ind w:left="420"/>
        <w:rPr>
          <w:rFonts w:ascii="Times New Roman" w:hAnsi="Times New Roman" w:eastAsia="仿宋_GB2312"/>
          <w:b/>
          <w:kern w:val="0"/>
          <w:sz w:val="32"/>
          <w:szCs w:val="32"/>
        </w:rPr>
      </w:pPr>
      <w:r>
        <w:rPr>
          <w:rFonts w:hint="eastAsia" w:ascii="Times New Roman" w:hAnsi="Times New Roman" w:eastAsia="仿宋_GB2312"/>
          <w:b/>
          <w:kern w:val="0"/>
          <w:sz w:val="32"/>
          <w:szCs w:val="32"/>
        </w:rPr>
        <w:t>成长赛道：</w:t>
      </w:r>
    </w:p>
    <w:p>
      <w:pPr>
        <w:pStyle w:val="4"/>
        <w:numPr>
          <w:ilvl w:val="0"/>
          <w:numId w:val="1"/>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生涯发展报告介绍职业发展规划、实现职业目标的具体行动和成果（PDF格式，文字不超过</w:t>
      </w:r>
      <w:r>
        <w:rPr>
          <w:rFonts w:hint="eastAsia" w:ascii="Times New Roman" w:hAnsi="Times New Roman" w:eastAsia="仿宋_GB2312"/>
          <w:kern w:val="0"/>
          <w:sz w:val="32"/>
          <w:szCs w:val="32"/>
          <w:highlight w:val="none"/>
        </w:rPr>
        <w:t>2500字</w:t>
      </w:r>
      <w:r>
        <w:rPr>
          <w:rFonts w:hint="eastAsia" w:ascii="Times New Roman" w:hAnsi="Times New Roman" w:eastAsia="仿宋_GB2312"/>
          <w:kern w:val="0"/>
          <w:sz w:val="32"/>
          <w:szCs w:val="32"/>
        </w:rPr>
        <w:t>，如有图表不超过5张）。</w:t>
      </w:r>
    </w:p>
    <w:p>
      <w:pPr>
        <w:pStyle w:val="4"/>
        <w:numPr>
          <w:ilvl w:val="0"/>
          <w:numId w:val="1"/>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生涯发展展示（PPT格式，不超过50MB；可加入视频）。</w:t>
      </w:r>
    </w:p>
    <w:p>
      <w:pPr>
        <w:pStyle w:val="4"/>
        <w:numPr>
          <w:ilvl w:val="0"/>
          <w:numId w:val="1"/>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《东南大学第十届职业规划大赛报名表》（附件2）、《东南大学第十届职业规划大赛报名汇总表》（附件4）》。</w:t>
      </w:r>
    </w:p>
    <w:p>
      <w:pPr>
        <w:spacing w:line="560" w:lineRule="exact"/>
        <w:ind w:left="420"/>
        <w:rPr>
          <w:rFonts w:ascii="Times New Roman" w:hAnsi="Times New Roman" w:eastAsia="仿宋_GB2312"/>
          <w:b/>
          <w:kern w:val="0"/>
          <w:sz w:val="32"/>
          <w:szCs w:val="32"/>
        </w:rPr>
      </w:pPr>
      <w:r>
        <w:rPr>
          <w:rFonts w:hint="eastAsia" w:ascii="Times New Roman" w:hAnsi="Times New Roman" w:eastAsia="仿宋_GB2312"/>
          <w:b/>
          <w:kern w:val="0"/>
          <w:sz w:val="32"/>
          <w:szCs w:val="32"/>
        </w:rPr>
        <w:t>就业赛道：</w:t>
      </w:r>
    </w:p>
    <w:p>
      <w:pPr>
        <w:pStyle w:val="4"/>
        <w:numPr>
          <w:ilvl w:val="0"/>
          <w:numId w:val="2"/>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求职简历（PDF格式）。</w:t>
      </w:r>
    </w:p>
    <w:p>
      <w:pPr>
        <w:pStyle w:val="4"/>
        <w:numPr>
          <w:ilvl w:val="0"/>
          <w:numId w:val="2"/>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就业能力展示（PPT格式，不超过50MB；可加入视频）。</w:t>
      </w:r>
    </w:p>
    <w:p>
      <w:pPr>
        <w:pStyle w:val="4"/>
        <w:numPr>
          <w:ilvl w:val="0"/>
          <w:numId w:val="2"/>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辅助证明材料，包括实践、实习、获奖等证明材料（采用PDF格式，不超过50MB），整合为单个文件。</w:t>
      </w:r>
    </w:p>
    <w:p>
      <w:pPr>
        <w:pStyle w:val="4"/>
        <w:numPr>
          <w:ilvl w:val="0"/>
          <w:numId w:val="2"/>
        </w:numPr>
        <w:spacing w:line="560" w:lineRule="exact"/>
        <w:ind w:firstLineChars="0"/>
        <w:rPr>
          <w:rFonts w:ascii="Times New Roman" w:hAnsi="Times New Roman" w:eastAsia="仿宋_GB2312"/>
          <w:kern w:val="0"/>
          <w:sz w:val="32"/>
          <w:szCs w:val="32"/>
        </w:rPr>
      </w:pPr>
      <w:r>
        <w:rPr>
          <w:rFonts w:hint="eastAsia" w:ascii="Times New Roman" w:hAnsi="Times New Roman" w:eastAsia="仿宋_GB2312"/>
          <w:kern w:val="0"/>
          <w:sz w:val="32"/>
          <w:szCs w:val="32"/>
        </w:rPr>
        <w:t>《东南大学第十届职业规划大赛报名表》（附件2）、《东南大学第十届职业规划大赛报名汇总表》（附件4）》。</w:t>
      </w:r>
    </w:p>
    <w:p>
      <w:pPr>
        <w:tabs>
          <w:tab w:val="left" w:pos="1260"/>
        </w:tabs>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二、各奖项评选办法</w:t>
      </w:r>
    </w:p>
    <w:p>
      <w:pPr>
        <w:spacing w:line="560" w:lineRule="exact"/>
        <w:ind w:firstLine="640" w:firstLineChars="200"/>
        <w:rPr>
          <w:rFonts w:ascii="Times New Roman" w:hAnsi="Times New Roman" w:eastAsia="楷体_GB2312"/>
          <w:kern w:val="0"/>
          <w:sz w:val="32"/>
          <w:szCs w:val="32"/>
        </w:rPr>
      </w:pPr>
      <w:r>
        <w:rPr>
          <w:rFonts w:hint="eastAsia" w:ascii="Times New Roman" w:hAnsi="楷体_GB2312" w:eastAsia="楷体_GB2312"/>
          <w:kern w:val="0"/>
          <w:sz w:val="32"/>
          <w:szCs w:val="32"/>
        </w:rPr>
        <w:t>（一）选手奖</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．从计划、执行、展示等方面对参赛选手进行综合评比；</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．需提交的文字作品要求参见一。要求作品内容完整，格式清晰，版面美观，亮点突出，人职匹配，规划方案操作性强。</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决赛现场陈述和问答环节。成长赛道考察职业发展规划的科学性和围绕实现职业目标的成长过程，通过学习实践持续提升职业目标达成度，以及综合素质和能力。就业赛道考察求职实战能力，个人发展路径与经济社会发展需要的适应度，就业能力与职业目标和岗位要求的契合度等。</w:t>
      </w:r>
    </w:p>
    <w:p>
      <w:pPr>
        <w:spacing w:line="560" w:lineRule="exact"/>
        <w:ind w:firstLine="640" w:firstLineChars="200"/>
        <w:rPr>
          <w:rFonts w:ascii="Times New Roman" w:hAnsi="Times New Roman" w:eastAsia="楷体_GB2312"/>
          <w:kern w:val="0"/>
          <w:sz w:val="32"/>
          <w:szCs w:val="32"/>
        </w:rPr>
      </w:pPr>
      <w:r>
        <w:rPr>
          <w:rFonts w:hint="eastAsia" w:ascii="Times New Roman" w:hAnsi="Times New Roman" w:eastAsia="楷体_GB2312"/>
          <w:kern w:val="0"/>
          <w:sz w:val="32"/>
          <w:szCs w:val="32"/>
        </w:rPr>
        <w:t>（二）优秀指导教师奖</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．有扎实的职业规划理论基础和丰富的实践经验；</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．有较强的敬业精神，为推进活动开展做出了积极贡献；</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．辅导的参赛选手决赛获奖；</w:t>
      </w:r>
    </w:p>
    <w:p>
      <w:pPr>
        <w:spacing w:line="560" w:lineRule="exact"/>
        <w:ind w:firstLine="640" w:firstLineChars="200"/>
        <w:rPr>
          <w:rFonts w:ascii="Times New Roman" w:hAnsi="Times New Roman" w:eastAsia="楷体_GB2312"/>
          <w:kern w:val="0"/>
          <w:sz w:val="32"/>
          <w:szCs w:val="32"/>
        </w:rPr>
      </w:pPr>
      <w:r>
        <w:rPr>
          <w:rFonts w:hint="eastAsia" w:ascii="Times New Roman" w:hAnsi="Times New Roman" w:eastAsia="楷体_GB2312"/>
          <w:kern w:val="0"/>
          <w:sz w:val="32"/>
          <w:szCs w:val="32"/>
        </w:rPr>
        <w:t>（三）最佳组织奖</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．学院高度重视，对在校生开展了系统的职业生涯规划教育；</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．按照组委会要求，做好院内宣传和赛事组织工作，能鼓励、引导学生在所学及相关专业领域内进行职业探索；</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．认真组织院内报名，参赛人数占在校生总数的比例高。院内初赛人数以院系发送汇总表及报名表并提交作品的学生数为准；</w:t>
      </w:r>
    </w:p>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  院系参赛选手在比赛中获得较好成绩；</w:t>
      </w:r>
    </w:p>
    <w:p>
      <w:pPr>
        <w:tabs>
          <w:tab w:val="left" w:pos="1260"/>
        </w:tabs>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三、注意事项</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（一）所有参赛作品概不退稿，请自行保留底稿。</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（二）参赛者必须是参赛作品的原创作者，并保证其拥有该作品的合法著作权。</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三）获奖作品如发现有抄袭、盗用、作弊等不法手段、或有出售、商业推广及直接或间接商业目的的、或不符合规定及违反他人著作权的，即予取消其参赛资格并追回奖励，所产生的一切法律责任由参赛者自行负责。</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四）所有获奖作品的著作权归主办方所有，即每位参赛者在其作品被公布和被告知获奖的同时即被视为已明确同意大赛主办方及其被许可人永久性地、免费地、以任何方式使用、任何媒体上使用、发表参赛作品。主办方可以将所有入选作品汇集成册出版发行，参赛者不得有任何异议。任何机构与个人（包括获奖作品的作者）刊登、转载这些作品均需获得主办方的书面许可。获奖作品的作者拥有该作品公开发表的署名权。</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五）所有参赛作品均不得涉及暴力、色情、非法宗教宣传等与国家相关法律、法规相抵触的内容。如遇此类投稿，主办方有权自行决定对其采取不予评审、不予发表或删除等措施，情节严重者将提交司法机关处理。</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（六）参赛者若违反本规则的任何条款，主办方有权立即取消其参赛资格，或取消其已获得的奖项并要求退还奖励，同时保留进一步追究损害赔偿的权利。</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（七）由于突发事件或其它主办方无法控制的原因，影响大赛的管理、安全、评审或公正性的情况下，主办方有权单方面推迟或取消部分或全部的比赛。</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（八）主办方保留进一步补充本比赛规程的权利。如参赛者对此有异议，可选择退出大赛，并应及时通知主办方。</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（九）主办方不承担因参赛作品所致的包括但不限于肖像权、名誉权、隐私权著作权、商标权等纠纷而产生的法律责任。</w:t>
      </w:r>
    </w:p>
    <w:p>
      <w:pPr>
        <w:spacing w:line="560" w:lineRule="exact"/>
        <w:rPr>
          <w:rFonts w:ascii="Times New Roman" w:hAnsi="黑体" w:eastAsia="黑体"/>
          <w:sz w:val="32"/>
          <w:szCs w:val="32"/>
        </w:rPr>
      </w:pPr>
    </w:p>
    <w:p>
      <w:pPr>
        <w:spacing w:line="560" w:lineRule="exact"/>
        <w:rPr>
          <w:rFonts w:ascii="Times New Roman" w:hAnsi="黑体" w:eastAsia="黑体"/>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74237"/>
    <w:multiLevelType w:val="multilevel"/>
    <w:tmpl w:val="01374237"/>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EF2516A"/>
    <w:multiLevelType w:val="multilevel"/>
    <w:tmpl w:val="4EF2516A"/>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MjdiMjc0Y2YwODEwMjJjZTZjMTc4MjhmMzcxYmYifQ=="/>
  </w:docVars>
  <w:rsids>
    <w:rsidRoot w:val="00000000"/>
    <w:rsid w:val="41DC7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 w:type="paragraph" w:styleId="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2024-05-06T01:22:54Z</dcterms:created>
  <dc:creator>SEU-JYB</dc:creator>
  <cp:lastModifiedBy>Tyrone</cp:lastModifiedBy>
  <dcterms:modified xsi:type="dcterms:W3CDTF">2024-05-06T01:23:00Z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8F52F916291440B8A7AF61073ED72C66_12</vt:lpwstr>
  </property>
</Properties>
</file>